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1D5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rPr>
        <w:t>附件</w:t>
      </w:r>
    </w:p>
    <w:p w14:paraId="70F5D3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val="0"/>
          <w:bCs w:val="0"/>
          <w:sz w:val="44"/>
          <w:szCs w:val="44"/>
        </w:rPr>
      </w:pPr>
      <w:r>
        <w:rPr>
          <w:rFonts w:hint="eastAsia" w:ascii="宋体" w:hAnsi="宋体" w:eastAsia="宋体" w:cs="宋体"/>
          <w:b w:val="0"/>
          <w:bCs w:val="0"/>
          <w:sz w:val="44"/>
          <w:szCs w:val="44"/>
        </w:rPr>
        <w:t>报</w:t>
      </w:r>
      <w:r>
        <w:rPr>
          <w:rFonts w:hint="eastAsia" w:ascii="宋体" w:hAnsi="宋体" w:eastAsia="宋体" w:cs="宋体"/>
          <w:b w:val="0"/>
          <w:bCs w:val="0"/>
          <w:sz w:val="44"/>
          <w:szCs w:val="44"/>
          <w:lang w:val="en-US" w:eastAsia="zh-CN"/>
        </w:rPr>
        <w:t xml:space="preserve"> </w:t>
      </w:r>
      <w:r>
        <w:rPr>
          <w:rFonts w:hint="eastAsia" w:ascii="宋体" w:hAnsi="宋体" w:eastAsia="宋体" w:cs="宋体"/>
          <w:b w:val="0"/>
          <w:bCs w:val="0"/>
          <w:sz w:val="44"/>
          <w:szCs w:val="44"/>
        </w:rPr>
        <w:t>价</w:t>
      </w:r>
      <w:r>
        <w:rPr>
          <w:rFonts w:hint="eastAsia" w:ascii="宋体" w:hAnsi="宋体" w:eastAsia="宋体" w:cs="宋体"/>
          <w:b w:val="0"/>
          <w:bCs w:val="0"/>
          <w:sz w:val="44"/>
          <w:szCs w:val="44"/>
          <w:lang w:val="en-US" w:eastAsia="zh-CN"/>
        </w:rPr>
        <w:t xml:space="preserve"> </w:t>
      </w:r>
      <w:r>
        <w:rPr>
          <w:rFonts w:hint="eastAsia" w:ascii="宋体" w:hAnsi="宋体" w:eastAsia="宋体" w:cs="宋体"/>
          <w:b w:val="0"/>
          <w:bCs w:val="0"/>
          <w:sz w:val="44"/>
          <w:szCs w:val="44"/>
        </w:rPr>
        <w:t>表</w:t>
      </w:r>
    </w:p>
    <w:p w14:paraId="4EB05F4F">
      <w:pPr>
        <w:pStyle w:val="4"/>
        <w:rPr>
          <w:rFonts w:hint="default" w:ascii="宋体" w:hAnsi="宋体" w:eastAsia="宋体" w:cs="宋体"/>
          <w:b w:val="0"/>
          <w:bCs w:val="0"/>
          <w:sz w:val="30"/>
          <w:szCs w:val="30"/>
          <w:lang w:val="en-US" w:eastAsia="zh-CN"/>
        </w:rPr>
      </w:pPr>
      <w:r>
        <w:rPr>
          <w:rFonts w:hint="eastAsia" w:ascii="宋体" w:hAnsi="宋体" w:eastAsia="宋体" w:cs="宋体"/>
          <w:b w:val="0"/>
          <w:bCs w:val="0"/>
          <w:sz w:val="30"/>
          <w:szCs w:val="30"/>
          <w:lang w:val="en-US" w:eastAsia="zh-CN"/>
        </w:rPr>
        <w:t>询价项目名称：</w:t>
      </w:r>
      <w:r>
        <w:rPr>
          <w:rFonts w:hint="eastAsia" w:ascii="仿宋_GB2312" w:hAnsi="仿宋_GB2312" w:eastAsia="仿宋_GB2312" w:cs="仿宋_GB2312"/>
          <w:sz w:val="32"/>
          <w:szCs w:val="32"/>
          <w:u w:val="single"/>
          <w:lang w:val="en-US" w:eastAsia="zh-CN"/>
        </w:rPr>
        <w:t>网络安全技术服务</w:t>
      </w:r>
      <w:r>
        <w:rPr>
          <w:rFonts w:hint="eastAsia" w:ascii="宋体" w:hAnsi="宋体" w:cs="宋体"/>
          <w:b w:val="0"/>
          <w:bCs w:val="0"/>
          <w:sz w:val="30"/>
          <w:szCs w:val="30"/>
          <w:lang w:val="en-US" w:eastAsia="zh-CN"/>
        </w:rPr>
        <w:t xml:space="preserve"> </w:t>
      </w:r>
    </w:p>
    <w:tbl>
      <w:tblPr>
        <w:tblStyle w:val="5"/>
        <w:tblW w:w="103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3"/>
        <w:gridCol w:w="1223"/>
        <w:gridCol w:w="768"/>
        <w:gridCol w:w="3659"/>
        <w:gridCol w:w="682"/>
        <w:gridCol w:w="595"/>
        <w:gridCol w:w="1136"/>
        <w:gridCol w:w="1039"/>
        <w:gridCol w:w="581"/>
      </w:tblGrid>
      <w:tr w14:paraId="1CA24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3"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52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4CBB">
            <w:pPr>
              <w:keepNext w:val="0"/>
              <w:keepLines w:val="0"/>
              <w:widowControl/>
              <w:suppressLineNumbers w:val="0"/>
              <w:jc w:val="both"/>
              <w:textAlignment w:val="bottom"/>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kern w:val="0"/>
                <w:sz w:val="24"/>
                <w:szCs w:val="24"/>
                <w:u w:val="none"/>
                <w:lang w:val="en-US" w:eastAsia="zh-CN" w:bidi="ar"/>
              </w:rPr>
              <w:t>项目类别</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51DB">
            <w:pPr>
              <w:keepNext w:val="0"/>
              <w:keepLines w:val="0"/>
              <w:widowControl/>
              <w:suppressLineNumbers w:val="0"/>
              <w:jc w:val="center"/>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项目名称</w:t>
            </w:r>
          </w:p>
        </w:tc>
        <w:tc>
          <w:tcPr>
            <w:tcW w:w="3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8FE9">
            <w:pPr>
              <w:keepNext w:val="0"/>
              <w:keepLines w:val="0"/>
              <w:widowControl/>
              <w:suppressLineNumbers w:val="0"/>
              <w:jc w:val="center"/>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服务要求</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20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4B5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A87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单价（元）</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A12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总价（元）</w:t>
            </w:r>
          </w:p>
        </w:tc>
        <w:tc>
          <w:tcPr>
            <w:tcW w:w="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CB4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4F51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7647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b/>
                <w:bCs/>
                <w:i w:val="0"/>
                <w:iCs w:val="0"/>
                <w:color w:val="000000"/>
                <w:kern w:val="0"/>
                <w:sz w:val="21"/>
                <w:szCs w:val="21"/>
                <w:u w:val="none"/>
                <w:lang w:val="en-US" w:eastAsia="zh-CN" w:bidi="ar"/>
              </w:rPr>
              <w:t>1</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3337">
            <w:pPr>
              <w:keepNext w:val="0"/>
              <w:keepLines w:val="0"/>
              <w:widowControl/>
              <w:suppressLineNumbers w:val="0"/>
              <w:jc w:val="center"/>
              <w:textAlignment w:val="center"/>
              <w:rPr>
                <w:rFonts w:hint="eastAsia" w:ascii="宋体" w:hAnsi="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技术服务</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23AF">
            <w:pPr>
              <w:keepNext w:val="0"/>
              <w:keepLines w:val="0"/>
              <w:widowControl/>
              <w:suppressLineNumbers w:val="0"/>
              <w:jc w:val="center"/>
              <w:textAlignment w:val="center"/>
              <w:rPr>
                <w:rFonts w:hint="eastAsia" w:ascii="宋体" w:hAnsi="宋体" w:cs="宋体"/>
                <w:i w:val="0"/>
                <w:iCs w:val="0"/>
                <w:color w:val="000000"/>
                <w:sz w:val="24"/>
                <w:szCs w:val="24"/>
                <w:u w:val="none"/>
                <w:lang w:eastAsia="zh-CN"/>
              </w:rPr>
            </w:pPr>
            <w:r>
              <w:rPr>
                <w:rFonts w:hint="eastAsia" w:ascii="宋体" w:hAnsi="宋体" w:cs="宋体"/>
                <w:i w:val="0"/>
                <w:iCs w:val="0"/>
                <w:color w:val="000000"/>
                <w:sz w:val="24"/>
                <w:szCs w:val="24"/>
                <w:u w:val="none"/>
                <w:lang w:val="en-US" w:eastAsia="zh-CN"/>
              </w:rPr>
              <w:t>网络安全技术服务</w:t>
            </w:r>
          </w:p>
        </w:tc>
        <w:tc>
          <w:tcPr>
            <w:tcW w:w="3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A748">
            <w:pPr>
              <w:numPr>
                <w:ilvl w:val="0"/>
                <w:numId w:val="1"/>
              </w:numPr>
              <w:ind w:leftChars="0"/>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边界安全加固服务</w:t>
            </w:r>
          </w:p>
          <w:p w14:paraId="15775674">
            <w:pPr>
              <w:rPr>
                <w:rFonts w:hint="eastAsia"/>
              </w:rPr>
            </w:pPr>
            <w:r>
              <w:rPr>
                <w:rFonts w:hint="eastAsia"/>
              </w:rPr>
              <w:t>1、边界安全加固服务借助边界安全加固服务工具开展相应服务，服务工具</w:t>
            </w:r>
            <w:r>
              <w:rPr>
                <w:rFonts w:hint="eastAsia"/>
                <w:lang w:val="en-US" w:eastAsia="zh-CN"/>
              </w:rPr>
              <w:t>性能：</w:t>
            </w:r>
            <w:r>
              <w:rPr>
                <w:rFonts w:hint="eastAsia"/>
              </w:rPr>
              <w:t>网络层吞吐量≥</w:t>
            </w:r>
            <w:r>
              <w:rPr>
                <w:rFonts w:hint="eastAsia"/>
                <w:lang w:val="en-US" w:eastAsia="zh-CN"/>
              </w:rPr>
              <w:t>3</w:t>
            </w:r>
            <w:r>
              <w:rPr>
                <w:rFonts w:hint="eastAsia"/>
              </w:rPr>
              <w:t>G，</w:t>
            </w:r>
            <w:r>
              <w:rPr>
                <w:rFonts w:hint="default"/>
                <w:lang w:val="en-US"/>
              </w:rPr>
              <w:t>IPS</w:t>
            </w:r>
            <w:r>
              <w:rPr>
                <w:rFonts w:hint="eastAsia"/>
              </w:rPr>
              <w:t>吞吐量≥800M，最大并发连接数≥100万，新建连接数≥3万；接口：千兆电口≥6个，千兆光口≥2个，为防止设备关键信息泄露，</w:t>
            </w:r>
            <w:r>
              <w:rPr>
                <w:rFonts w:hint="eastAsia"/>
                <w:lang w:val="en-US" w:eastAsia="zh-CN"/>
              </w:rPr>
              <w:t>不</w:t>
            </w:r>
            <w:r>
              <w:rPr>
                <w:rFonts w:hint="eastAsia"/>
              </w:rPr>
              <w:t>配置显示器等显示设备；</w:t>
            </w:r>
          </w:p>
          <w:p w14:paraId="1B3C2911">
            <w:pPr>
              <w:rPr>
                <w:rFonts w:hint="eastAsia"/>
              </w:rPr>
            </w:pPr>
            <w:r>
              <w:rPr>
                <w:rFonts w:hint="eastAsia"/>
              </w:rPr>
              <w:t>2、服务工具支持策略生命周期管理功能，允许对安全策略的修改时间、变更原因和变更类型进行一体化管理，以便更方便地进行策略的维护和管理。</w:t>
            </w:r>
          </w:p>
          <w:p w14:paraId="7789A2E7">
            <w:pPr>
              <w:rPr>
                <w:rFonts w:hint="eastAsia"/>
              </w:rPr>
            </w:pPr>
            <w:r>
              <w:rPr>
                <w:rFonts w:hint="eastAsia"/>
              </w:rPr>
              <w:t>3、服务工具支持基于网络区域、网络对象、MAC地址、服务、应用、域名等维度进行访问控制策略设置。</w:t>
            </w:r>
          </w:p>
          <w:p w14:paraId="31504104">
            <w:pPr>
              <w:rPr>
                <w:rFonts w:hint="eastAsia"/>
              </w:rPr>
            </w:pPr>
            <w:r>
              <w:rPr>
                <w:rFonts w:hint="eastAsia"/>
              </w:rPr>
              <w:t>4、服务工具支持被动监测和主动扫描两种资产识别方式，可梳理离线资产、高危端口开放、冗余端口等安全风险；同时通过可视化的拓扑关系图，直观地展示资产和资产之间的访问关系、访问细节协议端口等信息。</w:t>
            </w:r>
          </w:p>
          <w:p w14:paraId="0D0A60AB">
            <w:pPr>
              <w:rPr>
                <w:rFonts w:hint="eastAsia"/>
              </w:rPr>
            </w:pPr>
            <w:r>
              <w:rPr>
                <w:rFonts w:hint="eastAsia"/>
              </w:rPr>
              <w:t>5、服务工具内置不低于15000种漏洞规则，同时支持在控制台界面通过漏洞ID、漏洞名称、危险等级、漏洞CVE标识、漏洞描述等条件查询漏洞特征信息，支持用户自定义IPS规则。</w:t>
            </w:r>
          </w:p>
          <w:p w14:paraId="01F69055">
            <w:pPr>
              <w:rPr>
                <w:rFonts w:hint="eastAsia"/>
              </w:rPr>
            </w:pPr>
            <w:r>
              <w:rPr>
                <w:rFonts w:hint="eastAsia"/>
              </w:rPr>
              <w:t>6、服务工具支持三权分立功能，根据管理员权限分为安全管理员、审计员、系统管理员三种角色。</w:t>
            </w:r>
          </w:p>
          <w:p w14:paraId="722A8830">
            <w:pPr>
              <w:rPr>
                <w:rFonts w:hint="eastAsia"/>
              </w:rPr>
            </w:pPr>
            <w:r>
              <w:rPr>
                <w:rFonts w:hint="eastAsia"/>
              </w:rPr>
              <w:t>7、服务工具支持用户账号的全生命周期保护，涵盖了用户账号多余入口检测、用户账号弱口令检测、用户账号暴力破解检测以及失陷账号检测，以防止非法提权情况由于账号被暴力破解而发生。</w:t>
            </w:r>
          </w:p>
          <w:p w14:paraId="257D7997">
            <w:pPr>
              <w:rPr>
                <w:rFonts w:hint="eastAsia"/>
              </w:rPr>
            </w:pPr>
            <w:r>
              <w:rPr>
                <w:rFonts w:hint="eastAsia"/>
              </w:rPr>
              <w:t>9、服务工具支持FTP协议命令控制功能，包括delete、put、mkdir、rmdir、mget、rename、dir、mput、get等常见命令。能够有效地保护对外服务，防止被恶意篡改，实现对FTP协议的详细访问控制，确保文件传输操作的合法和安全。</w:t>
            </w:r>
          </w:p>
          <w:p w14:paraId="78255809">
            <w:pPr>
              <w:numPr>
                <w:numId w:val="0"/>
              </w:numPr>
              <w:rPr>
                <w:rFonts w:hint="eastAsia" w:ascii="宋体" w:hAnsi="宋体" w:cs="宋体"/>
                <w:i w:val="0"/>
                <w:iCs w:val="0"/>
                <w:color w:val="000000"/>
                <w:sz w:val="24"/>
                <w:szCs w:val="24"/>
                <w:u w:val="none"/>
                <w:lang w:val="en-US" w:eastAsia="zh-CN"/>
              </w:rPr>
            </w:pPr>
            <w:r>
              <w:rPr>
                <w:rFonts w:hint="eastAsia"/>
              </w:rPr>
              <w:t>10、服务工具支持路由类型、协议类型、网络对象、国家地区等条件进行自动选路的策略路由，支持不少于3种的调度算法，至少包括带宽比例、加权流量、线路优先等。</w:t>
            </w:r>
          </w:p>
          <w:p w14:paraId="2325B27C">
            <w:pPr>
              <w:numPr>
                <w:numId w:val="0"/>
              </w:numPr>
              <w:rPr>
                <w:rFonts w:hint="eastAsia" w:ascii="宋体" w:hAnsi="宋体" w:cs="宋体"/>
                <w:i w:val="0"/>
                <w:iCs w:val="0"/>
                <w:color w:val="000000"/>
                <w:sz w:val="24"/>
                <w:szCs w:val="24"/>
                <w:u w:val="none"/>
                <w:lang w:val="en-US" w:eastAsia="zh-CN"/>
              </w:rPr>
            </w:pPr>
          </w:p>
          <w:p w14:paraId="1783C00E">
            <w:pPr>
              <w:numPr>
                <w:ilvl w:val="0"/>
                <w:numId w:val="1"/>
              </w:numPr>
              <w:ind w:leftChars="0"/>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端点安全加固服务</w:t>
            </w:r>
          </w:p>
          <w:p w14:paraId="72DA41BB">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w:t>
            </w:r>
            <w:r>
              <w:rPr>
                <w:rFonts w:hint="eastAsia" w:ascii="宋体" w:hAnsi="宋体" w:cs="宋体"/>
                <w:i w:val="0"/>
                <w:iCs w:val="0"/>
                <w:color w:val="000000"/>
                <w:sz w:val="22"/>
                <w:szCs w:val="22"/>
                <w:u w:val="none"/>
                <w:lang w:val="en-US" w:eastAsia="zh-CN"/>
              </w:rPr>
              <w:t>端点</w:t>
            </w:r>
            <w:r>
              <w:rPr>
                <w:rFonts w:hint="eastAsia" w:ascii="宋体" w:hAnsi="宋体" w:eastAsia="宋体" w:cs="宋体"/>
                <w:i w:val="0"/>
                <w:iCs w:val="0"/>
                <w:color w:val="000000"/>
                <w:sz w:val="22"/>
                <w:szCs w:val="22"/>
                <w:u w:val="none"/>
              </w:rPr>
              <w:t>安全加固服务借助端点安全服务工具开展相应服务，服务工具采用B/S架构的管理控制中心，服务工具提供PC端授权</w:t>
            </w:r>
            <w:r>
              <w:rPr>
                <w:rFonts w:hint="eastAsia" w:ascii="宋体" w:hAnsi="宋体" w:cs="宋体"/>
                <w:i w:val="0"/>
                <w:iCs w:val="0"/>
                <w:color w:val="000000"/>
                <w:sz w:val="22"/>
                <w:szCs w:val="22"/>
                <w:u w:val="none"/>
                <w:lang w:val="en-US" w:eastAsia="zh-CN"/>
              </w:rPr>
              <w:t>5</w:t>
            </w:r>
            <w:r>
              <w:rPr>
                <w:rFonts w:hint="eastAsia" w:ascii="宋体" w:hAnsi="宋体" w:eastAsia="宋体" w:cs="宋体"/>
                <w:i w:val="0"/>
                <w:iCs w:val="0"/>
                <w:color w:val="000000"/>
                <w:sz w:val="22"/>
                <w:szCs w:val="22"/>
                <w:u w:val="none"/>
              </w:rPr>
              <w:t>0个；服务器端授权</w:t>
            </w:r>
            <w:r>
              <w:rPr>
                <w:rFonts w:hint="eastAsia" w:ascii="宋体" w:hAnsi="宋体" w:cs="宋体"/>
                <w:i w:val="0"/>
                <w:iCs w:val="0"/>
                <w:color w:val="000000"/>
                <w:sz w:val="22"/>
                <w:szCs w:val="22"/>
                <w:u w:val="none"/>
                <w:lang w:val="en-US" w:eastAsia="zh-CN"/>
              </w:rPr>
              <w:t>5</w:t>
            </w:r>
            <w:r>
              <w:rPr>
                <w:rFonts w:hint="eastAsia" w:ascii="宋体" w:hAnsi="宋体" w:eastAsia="宋体" w:cs="宋体"/>
                <w:i w:val="0"/>
                <w:iCs w:val="0"/>
                <w:color w:val="000000"/>
                <w:sz w:val="22"/>
                <w:szCs w:val="22"/>
                <w:u w:val="none"/>
              </w:rPr>
              <w:t>个，具备终端安全可视，终端统一管理，统一漏洞修复，威胁响应处置，日志记录与查询等功能；</w:t>
            </w:r>
          </w:p>
          <w:p w14:paraId="3F4CF923">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2、服务工具需提供勒索病毒整体防护体系入口，直观展示最近七天勒索病毒防护效果，包括已处置的勒索病毒数量、已阻止的勒索病毒行为次数、已阻止的未知进程操作次数、已阻止的暴力破解攻击次数。</w:t>
            </w:r>
          </w:p>
          <w:p w14:paraId="6706B8FD">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3、服务工具支持针对管理控制中心性能，安全事件，勒索病毒事件等邮件告警。</w:t>
            </w:r>
          </w:p>
          <w:p w14:paraId="1365242D">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服务工具支持对系统账号信息进行梳理，了解账号权限分布概况以及风险账号分布情况，可按照隐藏账号、弱密码账号、可疑root权限账号、长期未使用账号、夜间登录、多IP登录进行账号分类查看，支持统计最近一年未修改密码的账户。</w:t>
            </w:r>
          </w:p>
          <w:p w14:paraId="58330C34">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5、服务工具支持对zip、rar、jar、cab、7z等常见压缩文件的扫描检测。</w:t>
            </w:r>
          </w:p>
          <w:p w14:paraId="31F56D72">
            <w:pPr>
              <w:numPr>
                <w:ilvl w:val="0"/>
                <w:numId w:val="0"/>
              </w:numPr>
              <w:ind w:leftChars="0"/>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rPr>
              <w:t>6、服务工具支持客户端的错峰升级，可根据实际情况控制客户端同时升级的最大数量，避免大量终端程序同时更新造成网络拥堵或I/O风暴</w:t>
            </w:r>
            <w:r>
              <w:rPr>
                <w:rFonts w:hint="eastAsia" w:ascii="宋体" w:hAnsi="宋体" w:eastAsia="宋体" w:cs="宋体"/>
                <w:i w:val="0"/>
                <w:iCs w:val="0"/>
                <w:color w:val="000000"/>
                <w:sz w:val="22"/>
                <w:szCs w:val="22"/>
                <w:u w:val="none"/>
                <w:lang w:eastAsia="zh-CN"/>
              </w:rPr>
              <w:t>。</w:t>
            </w:r>
          </w:p>
          <w:p w14:paraId="6F926BB3">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7、服务工具支持终端自动分组管理，新接入的终端可以根据网段或终端名称关键字自动分配到对应的分组。</w:t>
            </w:r>
          </w:p>
          <w:p w14:paraId="3E90208C">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8、服务工具支持配置不同的权限角色，支持系统管理员、审计管理员、安全管理员三种权限。</w:t>
            </w:r>
          </w:p>
          <w:p w14:paraId="59BFE0D3">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9、服务工具支持以可视化形式展现攻击故事，提供可视化的进程树溯源，可直观看出攻击入口、相关操作行为、高危实体文件等信息，协助客户进行事件攻击溯源和研判分析</w:t>
            </w:r>
          </w:p>
          <w:p w14:paraId="55CE1926">
            <w:pPr>
              <w:numPr>
                <w:ilvl w:val="0"/>
                <w:numId w:val="0"/>
              </w:numPr>
              <w:ind w:leftChars="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10、服务工具可通过多维度引擎进行漏斗式检测，保障查杀效果在低误报率的情况下保持高检出率。</w:t>
            </w:r>
          </w:p>
          <w:p w14:paraId="327D6CF5">
            <w:pPr>
              <w:numPr>
                <w:numId w:val="0"/>
              </w:num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11、</w:t>
            </w:r>
            <w:r>
              <w:rPr>
                <w:rFonts w:hint="eastAsia" w:ascii="宋体" w:hAnsi="宋体" w:eastAsia="宋体" w:cs="宋体"/>
                <w:i w:val="0"/>
                <w:iCs w:val="0"/>
                <w:color w:val="000000"/>
                <w:sz w:val="22"/>
                <w:szCs w:val="22"/>
                <w:u w:val="none"/>
              </w:rPr>
              <w:t>服务工具可通过结合漏洞自身属性、外部漏洞情报以及资产暴露面等多个维度，进一步消减高危漏洞数量，对发现的漏洞进行优先级排序，包含响应、关注、观察的结果，快速聚焦应该优先关注的漏洞威胁。</w:t>
            </w:r>
          </w:p>
          <w:p w14:paraId="70301930">
            <w:pPr>
              <w:numPr>
                <w:numId w:val="0"/>
              </w:numPr>
              <w:rPr>
                <w:rFonts w:hint="eastAsia" w:ascii="宋体" w:hAnsi="宋体" w:cs="宋体"/>
                <w:i w:val="0"/>
                <w:iCs w:val="0"/>
                <w:color w:val="000000"/>
                <w:sz w:val="24"/>
                <w:szCs w:val="24"/>
                <w:u w:val="none"/>
                <w:lang w:val="en-US" w:eastAsia="zh-CN"/>
              </w:rPr>
            </w:pPr>
            <w:bookmarkStart w:id="0" w:name="_GoBack"/>
            <w:bookmarkEnd w:id="0"/>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F55A">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5A2A">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年</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6199">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BDD2">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FFA3">
            <w:pPr>
              <w:jc w:val="center"/>
              <w:rPr>
                <w:rFonts w:hint="eastAsia" w:ascii="宋体" w:hAnsi="宋体" w:eastAsia="宋体" w:cs="宋体"/>
                <w:i w:val="0"/>
                <w:iCs w:val="0"/>
                <w:color w:val="000000"/>
                <w:sz w:val="28"/>
                <w:szCs w:val="28"/>
                <w:u w:val="none"/>
              </w:rPr>
            </w:pPr>
          </w:p>
        </w:tc>
      </w:tr>
      <w:tr w14:paraId="3057F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1035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39261E">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报价金额 ： </w:t>
            </w:r>
            <w:r>
              <w:rPr>
                <w:rFonts w:hint="eastAsia" w:ascii="宋体" w:hAnsi="宋体" w:eastAsia="宋体" w:cs="宋体"/>
                <w:i w:val="0"/>
                <w:iCs w:val="0"/>
                <w:color w:val="000000"/>
                <w:sz w:val="22"/>
                <w:szCs w:val="22"/>
                <w:u w:val="none"/>
                <w:lang w:val="en-US" w:eastAsia="zh-CN"/>
              </w:rPr>
              <w:t xml:space="preserve">   </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sz w:val="22"/>
                <w:szCs w:val="22"/>
                <w:u w:val="none"/>
                <w:lang w:val="en-US" w:eastAsia="zh-CN"/>
              </w:rPr>
              <w:t xml:space="preserve"> 元</w:t>
            </w:r>
            <w:r>
              <w:rPr>
                <w:rFonts w:hint="eastAsia" w:ascii="宋体" w:hAnsi="宋体" w:eastAsia="宋体" w:cs="宋体"/>
                <w:i w:val="0"/>
                <w:iCs w:val="0"/>
                <w:color w:val="000000"/>
                <w:sz w:val="22"/>
                <w:szCs w:val="22"/>
                <w:u w:val="none"/>
              </w:rPr>
              <w:t xml:space="preserve"> （大写：</w:t>
            </w:r>
            <w:r>
              <w:rPr>
                <w:rFonts w:hint="eastAsia" w:ascii="宋体" w:hAnsi="宋体" w:eastAsia="宋体" w:cs="宋体"/>
                <w:i w:val="0"/>
                <w:iCs w:val="0"/>
                <w:color w:val="000000"/>
                <w:sz w:val="22"/>
                <w:szCs w:val="22"/>
                <w:u w:val="none"/>
                <w:lang w:val="en-US" w:eastAsia="zh-CN"/>
              </w:rPr>
              <w:t xml:space="preserve">            </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sz w:val="22"/>
                <w:szCs w:val="22"/>
                <w:u w:val="none"/>
                <w:lang w:val="en-US" w:eastAsia="zh-CN"/>
              </w:rPr>
              <w:t xml:space="preserve"> </w:t>
            </w:r>
            <w:r>
              <w:rPr>
                <w:rFonts w:hint="eastAsia" w:ascii="宋体" w:hAnsi="宋体" w:eastAsia="宋体" w:cs="宋体"/>
                <w:i w:val="0"/>
                <w:iCs w:val="0"/>
                <w:color w:val="000000"/>
                <w:sz w:val="22"/>
                <w:szCs w:val="22"/>
                <w:u w:val="none"/>
              </w:rPr>
              <w:t xml:space="preserve"> ）</w:t>
            </w:r>
          </w:p>
        </w:tc>
      </w:tr>
      <w:tr w14:paraId="6A5F6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2" w:hRule="atLeast"/>
        </w:trPr>
        <w:tc>
          <w:tcPr>
            <w:tcW w:w="1035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0895C4">
            <w:pPr>
              <w:jc w:val="left"/>
              <w:rPr>
                <w:rFonts w:hint="eastAsia" w:ascii="宋体" w:hAnsi="宋体" w:cs="宋体"/>
                <w:b w:val="0"/>
                <w:bCs w:val="0"/>
                <w:spacing w:val="8"/>
                <w:sz w:val="18"/>
                <w:szCs w:val="18"/>
                <w:highlight w:val="white"/>
                <w:lang w:eastAsia="zh-CN"/>
              </w:rPr>
            </w:pPr>
            <w:r>
              <w:rPr>
                <w:rFonts w:hint="eastAsia" w:ascii="宋体" w:hAnsi="宋体" w:eastAsia="宋体" w:cs="宋体"/>
                <w:b/>
                <w:bCs/>
                <w:sz w:val="18"/>
                <w:szCs w:val="18"/>
                <w:lang w:eastAsia="zh-CN"/>
              </w:rPr>
              <w:t>备注</w:t>
            </w:r>
            <w:r>
              <w:rPr>
                <w:rFonts w:hint="eastAsia" w:ascii="宋体" w:hAnsi="宋体" w:eastAsia="宋体" w:cs="宋体"/>
                <w:b/>
                <w:bCs/>
                <w:sz w:val="18"/>
                <w:szCs w:val="18"/>
              </w:rPr>
              <w:t>:</w:t>
            </w:r>
            <w:r>
              <w:rPr>
                <w:rFonts w:hint="eastAsia" w:ascii="宋体" w:hAnsi="宋体" w:eastAsia="宋体" w:cs="宋体"/>
                <w:b w:val="0"/>
                <w:bCs w:val="0"/>
                <w:spacing w:val="8"/>
                <w:sz w:val="18"/>
                <w:szCs w:val="18"/>
                <w:highlight w:val="white"/>
                <w:lang w:val="en-US" w:eastAsia="zh-CN"/>
              </w:rPr>
              <w:t>1.</w:t>
            </w:r>
            <w:r>
              <w:rPr>
                <w:rFonts w:hint="eastAsia" w:ascii="宋体" w:hAnsi="宋体" w:eastAsia="宋体" w:cs="宋体"/>
                <w:b w:val="0"/>
                <w:bCs w:val="0"/>
                <w:spacing w:val="8"/>
                <w:sz w:val="18"/>
                <w:szCs w:val="18"/>
                <w:highlight w:val="white"/>
              </w:rPr>
              <w:t>所有报价均用人民币表示,</w:t>
            </w:r>
            <w:r>
              <w:rPr>
                <w:rFonts w:hint="eastAsia" w:ascii="宋体" w:hAnsi="宋体" w:eastAsia="宋体" w:cs="宋体"/>
                <w:b w:val="0"/>
                <w:bCs w:val="0"/>
                <w:sz w:val="18"/>
                <w:szCs w:val="18"/>
                <w:highlight w:val="white"/>
              </w:rPr>
              <w:t>成交供应商的报价，</w:t>
            </w:r>
            <w:r>
              <w:rPr>
                <w:rFonts w:hint="eastAsia" w:ascii="宋体" w:hAnsi="宋体" w:eastAsia="宋体" w:cs="宋体"/>
                <w:b w:val="0"/>
                <w:bCs w:val="0"/>
                <w:spacing w:val="8"/>
                <w:sz w:val="18"/>
                <w:szCs w:val="18"/>
                <w:highlight w:val="white"/>
              </w:rPr>
              <w:t>即为</w:t>
            </w:r>
            <w:r>
              <w:rPr>
                <w:rFonts w:hint="eastAsia" w:ascii="宋体" w:hAnsi="宋体" w:eastAsia="宋体" w:cs="宋体"/>
                <w:b w:val="0"/>
                <w:bCs w:val="0"/>
                <w:sz w:val="18"/>
                <w:szCs w:val="18"/>
                <w:highlight w:val="white"/>
              </w:rPr>
              <w:t>签订</w:t>
            </w:r>
            <w:r>
              <w:rPr>
                <w:rFonts w:hint="eastAsia" w:ascii="宋体" w:hAnsi="宋体" w:eastAsia="宋体" w:cs="宋体"/>
                <w:b w:val="0"/>
                <w:bCs w:val="0"/>
                <w:sz w:val="18"/>
                <w:szCs w:val="18"/>
                <w:highlight w:val="white"/>
                <w:lang w:val="en-US" w:eastAsia="zh-CN"/>
              </w:rPr>
              <w:t>和</w:t>
            </w:r>
            <w:r>
              <w:rPr>
                <w:rFonts w:hint="eastAsia" w:ascii="宋体" w:hAnsi="宋体" w:eastAsia="宋体" w:cs="宋体"/>
                <w:b w:val="0"/>
                <w:bCs w:val="0"/>
                <w:spacing w:val="8"/>
                <w:sz w:val="18"/>
                <w:szCs w:val="18"/>
                <w:highlight w:val="white"/>
              </w:rPr>
              <w:t>履行合同的价格</w:t>
            </w:r>
            <w:r>
              <w:rPr>
                <w:rFonts w:hint="eastAsia" w:ascii="宋体" w:hAnsi="宋体" w:cs="宋体"/>
                <w:b w:val="0"/>
                <w:bCs w:val="0"/>
                <w:spacing w:val="8"/>
                <w:sz w:val="18"/>
                <w:szCs w:val="18"/>
                <w:highlight w:val="white"/>
                <w:lang w:eastAsia="zh-CN"/>
              </w:rPr>
              <w:t>；</w:t>
            </w:r>
          </w:p>
          <w:p w14:paraId="1D79012A">
            <w:pPr>
              <w:numPr>
                <w:ilvl w:val="0"/>
                <w:numId w:val="2"/>
              </w:numPr>
              <w:jc w:val="left"/>
              <w:rPr>
                <w:rFonts w:hint="eastAsia" w:ascii="宋体" w:hAnsi="宋体" w:cs="宋体"/>
                <w:b w:val="0"/>
                <w:bCs w:val="0"/>
                <w:sz w:val="18"/>
                <w:szCs w:val="18"/>
                <w:highlight w:val="white"/>
                <w:lang w:val="en-US" w:eastAsia="zh-CN"/>
              </w:rPr>
            </w:pPr>
            <w:r>
              <w:rPr>
                <w:rFonts w:hint="eastAsia" w:ascii="宋体" w:hAnsi="宋体" w:cs="宋体"/>
                <w:b w:val="0"/>
                <w:bCs w:val="0"/>
                <w:sz w:val="18"/>
                <w:szCs w:val="18"/>
                <w:highlight w:val="white"/>
                <w:lang w:val="en-US" w:eastAsia="zh-CN"/>
              </w:rPr>
              <w:t>供应商报价时须附公司营业执照及法人身份证复印件；</w:t>
            </w:r>
          </w:p>
          <w:p w14:paraId="7A078195">
            <w:pPr>
              <w:numPr>
                <w:ilvl w:val="0"/>
                <w:numId w:val="0"/>
              </w:numPr>
              <w:jc w:val="left"/>
              <w:rPr>
                <w:rFonts w:hint="eastAsia" w:ascii="宋体" w:hAnsi="宋体" w:eastAsia="宋体" w:cs="宋体"/>
                <w:i w:val="0"/>
                <w:iCs w:val="0"/>
                <w:color w:val="000000"/>
                <w:sz w:val="22"/>
                <w:szCs w:val="22"/>
                <w:u w:val="none"/>
              </w:rPr>
            </w:pPr>
            <w:r>
              <w:rPr>
                <w:rFonts w:hint="eastAsia" w:ascii="宋体" w:hAnsi="宋体" w:cs="宋体"/>
                <w:b w:val="0"/>
                <w:bCs w:val="0"/>
                <w:sz w:val="18"/>
                <w:szCs w:val="18"/>
                <w:highlight w:val="white"/>
                <w:lang w:val="en-US" w:eastAsia="zh-CN"/>
              </w:rPr>
              <w:t>3</w:t>
            </w:r>
            <w:r>
              <w:rPr>
                <w:rFonts w:hint="eastAsia" w:ascii="宋体" w:hAnsi="宋体" w:eastAsia="宋体" w:cs="宋体"/>
                <w:b w:val="0"/>
                <w:bCs w:val="0"/>
                <w:sz w:val="18"/>
                <w:szCs w:val="18"/>
                <w:highlight w:val="white"/>
                <w:lang w:val="en-US" w:eastAsia="zh-CN"/>
              </w:rPr>
              <w:t>.未尽事宜，须经双方协商同意后签订补充协议。</w:t>
            </w:r>
          </w:p>
        </w:tc>
      </w:tr>
    </w:tbl>
    <w:p w14:paraId="0DB133DA">
      <w:pPr>
        <w:rPr>
          <w:rFonts w:hint="eastAsia" w:ascii="宋体" w:hAnsi="宋体" w:eastAsia="宋体" w:cs="宋体"/>
        </w:rPr>
      </w:pPr>
    </w:p>
    <w:p w14:paraId="09A9088E">
      <w:pPr>
        <w:keepNext w:val="0"/>
        <w:keepLines w:val="0"/>
        <w:pageBreakBefore w:val="0"/>
        <w:widowControl w:val="0"/>
        <w:kinsoku/>
        <w:wordWrap/>
        <w:overflowPunct/>
        <w:topLinePunct w:val="0"/>
        <w:autoSpaceDE/>
        <w:autoSpaceDN/>
        <w:bidi w:val="0"/>
        <w:adjustRightInd/>
        <w:snapToGrid/>
        <w:spacing w:line="500" w:lineRule="exact"/>
        <w:ind w:firstLine="240" w:firstLineChars="1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供应商名称：</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（盖章）</w:t>
      </w:r>
      <w:r>
        <w:rPr>
          <w:rFonts w:hint="eastAsia" w:ascii="宋体" w:hAnsi="宋体" w:eastAsia="宋体" w:cs="宋体"/>
          <w:sz w:val="24"/>
          <w:szCs w:val="24"/>
          <w:lang w:val="en-US" w:eastAsia="zh-CN"/>
        </w:rPr>
        <w:t xml:space="preserve">       </w:t>
      </w:r>
    </w:p>
    <w:p w14:paraId="287CC5A3">
      <w:pPr>
        <w:keepNext w:val="0"/>
        <w:keepLines w:val="0"/>
        <w:pageBreakBefore w:val="0"/>
        <w:widowControl w:val="0"/>
        <w:kinsoku/>
        <w:wordWrap/>
        <w:overflowPunct/>
        <w:topLinePunct w:val="0"/>
        <w:autoSpaceDE/>
        <w:autoSpaceDN/>
        <w:bidi w:val="0"/>
        <w:adjustRightInd/>
        <w:snapToGrid/>
        <w:spacing w:line="50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联系电话：</w:t>
      </w:r>
    </w:p>
    <w:p w14:paraId="486DC13A">
      <w:pPr>
        <w:keepNext w:val="0"/>
        <w:keepLines w:val="0"/>
        <w:pageBreakBefore w:val="0"/>
        <w:widowControl w:val="0"/>
        <w:kinsoku/>
        <w:wordWrap/>
        <w:overflowPunct/>
        <w:topLinePunct w:val="0"/>
        <w:autoSpaceDE/>
        <w:autoSpaceDN/>
        <w:bidi w:val="0"/>
        <w:adjustRightInd/>
        <w:snapToGrid/>
        <w:spacing w:line="500" w:lineRule="exact"/>
        <w:ind w:firstLine="240" w:firstLineChars="1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法定代表人或授权</w:t>
      </w:r>
      <w:r>
        <w:rPr>
          <w:rFonts w:hint="eastAsia" w:ascii="宋体" w:hAnsi="宋体" w:eastAsia="宋体" w:cs="宋体"/>
          <w:sz w:val="24"/>
          <w:szCs w:val="24"/>
          <w:lang w:val="en-US" w:eastAsia="zh-CN"/>
        </w:rPr>
        <w:t>人</w:t>
      </w:r>
      <w:r>
        <w:rPr>
          <w:rFonts w:hint="eastAsia" w:ascii="宋体" w:hAnsi="宋体" w:eastAsia="宋体" w:cs="宋体"/>
          <w:sz w:val="24"/>
          <w:szCs w:val="24"/>
        </w:rPr>
        <w:t>（签字）：</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 xml:space="preserve"> </w:t>
      </w:r>
    </w:p>
    <w:p w14:paraId="7FEB9A56">
      <w:pPr>
        <w:keepNext w:val="0"/>
        <w:keepLines w:val="0"/>
        <w:pageBreakBefore w:val="0"/>
        <w:widowControl w:val="0"/>
        <w:kinsoku/>
        <w:wordWrap/>
        <w:overflowPunct/>
        <w:topLinePunct w:val="0"/>
        <w:autoSpaceDE/>
        <w:autoSpaceDN/>
        <w:bidi w:val="0"/>
        <w:adjustRightInd/>
        <w:snapToGrid/>
        <w:spacing w:line="500" w:lineRule="exact"/>
        <w:ind w:firstLine="240" w:firstLineChars="100"/>
        <w:jc w:val="left"/>
        <w:textAlignment w:val="auto"/>
        <w:rPr>
          <w:rFonts w:hint="eastAsia" w:ascii="宋体" w:hAnsi="宋体" w:eastAsia="宋体" w:cs="宋体"/>
          <w:sz w:val="18"/>
          <w:szCs w:val="18"/>
        </w:rPr>
      </w:pPr>
      <w:r>
        <w:rPr>
          <w:rFonts w:hint="eastAsia" w:ascii="宋体" w:hAnsi="宋体" w:eastAsia="宋体" w:cs="宋体"/>
          <w:sz w:val="24"/>
          <w:szCs w:val="24"/>
          <w:lang w:eastAsia="zh-CN"/>
        </w:rPr>
        <w:t>报价</w:t>
      </w:r>
      <w:r>
        <w:rPr>
          <w:rFonts w:hint="eastAsia" w:ascii="宋体" w:hAnsi="宋体" w:eastAsia="宋体" w:cs="宋体"/>
          <w:sz w:val="24"/>
          <w:szCs w:val="24"/>
        </w:rPr>
        <w:t xml:space="preserve">日期: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sectPr>
      <w:footerReference r:id="rId3" w:type="default"/>
      <w:pgSz w:w="11906" w:h="16838"/>
      <w:pgMar w:top="720" w:right="720" w:bottom="720" w:left="72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A853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5AC49">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F5AC49">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D2F4B0"/>
    <w:multiLevelType w:val="singleLevel"/>
    <w:tmpl w:val="FED2F4B0"/>
    <w:lvl w:ilvl="0" w:tentative="0">
      <w:start w:val="1"/>
      <w:numFmt w:val="chineseCounting"/>
      <w:suff w:val="nothing"/>
      <w:lvlText w:val="%1、"/>
      <w:lvlJc w:val="left"/>
      <w:rPr>
        <w:rFonts w:hint="eastAsia"/>
      </w:rPr>
    </w:lvl>
  </w:abstractNum>
  <w:abstractNum w:abstractNumId="1">
    <w:nsid w:val="096EA323"/>
    <w:multiLevelType w:val="singleLevel"/>
    <w:tmpl w:val="096EA323"/>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1OGE4NjY2YTQxYWIzYzBiNmU2MGQxNDgzMmU0ZjcifQ=="/>
  </w:docVars>
  <w:rsids>
    <w:rsidRoot w:val="00000000"/>
    <w:rsid w:val="05AB3CC8"/>
    <w:rsid w:val="06770FAA"/>
    <w:rsid w:val="080726D2"/>
    <w:rsid w:val="0A015D6A"/>
    <w:rsid w:val="0BFE31F0"/>
    <w:rsid w:val="11555AAE"/>
    <w:rsid w:val="119200E9"/>
    <w:rsid w:val="1A727A92"/>
    <w:rsid w:val="27DF1755"/>
    <w:rsid w:val="30D42767"/>
    <w:rsid w:val="3B1B0810"/>
    <w:rsid w:val="42C43491"/>
    <w:rsid w:val="4ACA7569"/>
    <w:rsid w:val="5578680C"/>
    <w:rsid w:val="5CC803AF"/>
    <w:rsid w:val="623A1223"/>
    <w:rsid w:val="686236C1"/>
    <w:rsid w:val="6AB3714E"/>
    <w:rsid w:val="74A4534E"/>
    <w:rsid w:val="75AD5434"/>
    <w:rsid w:val="79586D9D"/>
    <w:rsid w:val="7B9D7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Body Text 2"/>
    <w:basedOn w:val="1"/>
    <w:qFormat/>
    <w:uiPriority w:val="0"/>
    <w:pPr>
      <w:spacing w:after="120" w:line="480" w:lineRule="auto"/>
    </w:pPr>
    <w:rPr>
      <w:szCs w:val="24"/>
    </w:rPr>
  </w:style>
  <w:style w:type="character" w:styleId="7">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954</Words>
  <Characters>1047</Characters>
  <Lines>0</Lines>
  <Paragraphs>0</Paragraphs>
  <TotalTime>0</TotalTime>
  <ScaleCrop>false</ScaleCrop>
  <LinksUpToDate>false</LinksUpToDate>
  <CharactersWithSpaces>1150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2023-01-09T03:13:00Z</dcterms:created>
  <dc:creator>Administrator</dc:creator>
  <cp:lastModifiedBy>CS</cp:lastModifiedBy>
  <cp:lastPrinted>2024-11-15T08:02:00Z</cp:lastPrinted>
  <dcterms:modified xsi:type="dcterms:W3CDTF">2026-10-09T03:15:24Z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AF05B1C103624E8CA86DD56AF26A61BD</vt:lpwstr>
  </property>
  <property fmtid="{D5CDD505-2E9C-101B-9397-08002B2CF9AE}" pid="4" name="KSOTemplateDocerSaveRecord">
    <vt:lpwstr>eyJoZGlkIjoiZmZjNDBiNjhhMDcwMTU3YzcwMDA5MWU4ODFmZTZhODAiLCJ1c2VySWQiOiIyOTEwNzI3MCJ9</vt:lpwstr>
  </property>
</Properties>
</file>